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珠山区人民检察院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>2020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年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部门</w:t>
      </w:r>
    </w:p>
    <w:p>
      <w:pPr>
        <w:pStyle w:val="2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7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预算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草案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编制说明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51" w:firstLineChars="196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51" w:firstLineChars="196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  <w:t>一、珠山区人民检察院主要职责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（一）对于叛国案、分裂国家案以及严重破坏国家的政策、法律、政令统一实施的重大犯罪案件，行使检察权。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　　（二）对于直接受理的国家工作人员利用职权实施的犯罪案件，进行侦查。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ind w:left="0" w:leftChars="0" w:right="0" w:rightChars="0" w:firstLine="548" w:firstLineChars="196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（三）对于公安机关、国家安全机关等侦查机关侦查的案件进行审查，决定是否逮捕，起诉或者不起诉，并对侦查机关的侦查活动是否合法实行监督。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（四）对于刑事案件提起公诉，支持公诉;对于人民法院的刑事判决、裁定是否正确和审判活动是否实行监督。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　　（五）对于监狱、看守所等执行机关执行刑罚的活动是否合法实行监督。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　　（六）对于人民法院的民事审判活动实行法律监督，对人民法院已经发生效力的判决、裁定，发现违反法律、法规规定的，依法提出抗诉。</w:t>
      </w:r>
    </w:p>
    <w:p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leftChars="0" w:right="0" w:rightChars="0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  <w:t>　　（七）对于行政诉讼实行法律监督。对人民法院已经发生效力的判决、裁定，发现违反法律、法规规定的，依法提出抗诉。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textAlignment w:val="auto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highlight w:val="none"/>
          <w:shd w:val="clear" w:color="auto" w:fill="auto"/>
          <w:lang w:val="en-US" w:eastAsia="zh-CN" w:bidi="ar-S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51" w:firstLineChars="196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  <w:t>二、珠山区人民检察院</w:t>
      </w: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20</w:t>
      </w: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</w:t>
      </w: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年</w:t>
      </w: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  <w:t>主要工作任务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珠山区人民检察院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的主要工作任务是：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一、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服务经济社会大局，注重维护社会和谐稳定，持续深入推进扫黑除恶专项斗争、“双创双修”等工作的开展，有效服务打好“三大攻坚战”，确保检察工作始终与大局合拍、与稳定同行、与发展同步，为经济社会发展保驾护航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进一步全面平衡充分履行刑事、民事、行政监督职能，构建多元化的监督格局，全面提升法律监督能力和水平；着力打造更加公正高效的员额检察官办案团队，切实提升司法办案效能，维护司法公正。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贯彻落实好习近平总书记关于“检察官作为公共利益的代表”的要求，牢固树立“双赢多赢共赢”的理念，重点履行好公益诉讼等职能，着力打造“公益检察”新品牌。大力推动检察信息化、智能化建设，推动检察工作全面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51" w:firstLineChars="196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  <w:t>三、珠山区人民检察院基本情况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珠山区人民检察院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有预算单位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个。编制数为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人，其中行政编制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人、全额补助事业编制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人；实有人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人，其中在职人数为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人，包括行政人员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人、全额补助事业人员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人。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51" w:firstLineChars="196"/>
        <w:textAlignment w:val="auto"/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  <w:t>四、</w:t>
      </w: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2020年</w:t>
      </w:r>
      <w:r>
        <w:rPr>
          <w:rFonts w:hint="eastAsia" w:ascii="黑体" w:hAnsi="黑体" w:eastAsia="黑体" w:cs="黑体"/>
          <w:b/>
          <w:color w:val="auto"/>
          <w:sz w:val="28"/>
          <w:szCs w:val="28"/>
          <w:highlight w:val="none"/>
          <w:shd w:val="clear" w:color="auto" w:fill="auto"/>
        </w:rPr>
        <w:t>预算收支情况说明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2" w:firstLineChars="150"/>
        <w:textAlignment w:val="auto"/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（一）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收入预算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6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珠山区人民检察院收入预算总额为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1000.9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与上年预算相比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减少16.67%，主要是转隶人员调出，人员经费减少，罚没收入减少。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其中：当年财政拨款收入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1000.9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422" w:firstLineChars="150"/>
        <w:textAlignment w:val="auto"/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（二）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支出预算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珠山区人民检察院支出预算总额为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1000.9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，与上年预算相比减少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16.67%，人员数量减少，支出减少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。其中：按支出项目类别划分：基本支出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638.42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万元，占支出预算总额的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63.78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%，包括工资福利支出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470.85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万元、商品和服务支出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167.57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万元；项目支出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362.48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万元，占支出总额的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36.22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按支出功能项目科目划分：公共安全支出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878.62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万元，占支出预算总额的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87.78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%；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65.51万元，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6.55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；卫生健康支出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19.14万元，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1.91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；住房保障支出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37.63万元，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3.76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（三）经费拨款支出情况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2020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珠山区人民检察院经费拨款支出预算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1000.9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万元，占支出预算总额的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与上年预算相比减少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16.67%，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具体支出情况是：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公共安全支出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878.62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万元，占支出预算总额的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87.78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社会保障和就业支出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65.51万元，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6.55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卫生健康支出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19.14万元，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1.91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住房保障支出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37.63万元，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占支出预算总额的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3.76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</w:rPr>
        <w:t>%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四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政府采购预算情况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eastAsia="zh-CN"/>
        </w:rPr>
        <w:t>政府采购总额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130.72万元，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均为部门集中采购，无政府购买服务，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eastAsia="zh-CN"/>
        </w:rPr>
        <w:t>与上年预算相比减少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9.22%，主要是物业管理费用减少。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</w:pP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（五）政府基金收支情况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leftChars="200"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eastAsia="zh-CN"/>
        </w:rPr>
        <w:t>无政府基金收支。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11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2" w:firstLineChars="200"/>
        <w:textAlignment w:val="auto"/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</w:pP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（六）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“三公”经费预算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  <w:lang w:eastAsia="zh-CN"/>
        </w:rPr>
        <w:t>安排</w:t>
      </w:r>
      <w:r>
        <w:rPr>
          <w:rFonts w:hint="eastAsia" w:ascii="楷体_GB2312" w:hAnsi="楷体_GB2312" w:eastAsia="楷体_GB2312" w:cs="楷体_GB2312"/>
          <w:b/>
          <w:color w:val="auto"/>
          <w:sz w:val="28"/>
          <w:szCs w:val="28"/>
          <w:highlight w:val="none"/>
          <w:shd w:val="clear" w:color="auto" w:fill="auto"/>
        </w:rPr>
        <w:t>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2020年珠山区人民检察院“三公”经费年初预算安排27.44万元。其中：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因公出国（境）费0万元。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公务接待费6.72万元，比上年减少0.14万元，主要原因：严格执行中央“八项规定”、国务院“约法三章”要求及市委市政府关于厉行节约的各项规定，坚持从严从紧控制“三公”经费。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公务用车运行维护费20.72万元，与上年持平，主要原因：办案业务用车量基本无变化。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  <w:t>公务用车购置费0万元。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70" w:lineRule="exact"/>
        <w:ind w:firstLine="560" w:firstLineChars="2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highlight w:val="none"/>
          <w:shd w:val="clear" w:color="auto" w:fill="auto"/>
          <w:lang w:val="en-US" w:eastAsia="zh-CN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1418" w:gutter="0"/>
      <w:pgNumType w:fmt="decimal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9"/>
      </w:rPr>
    </w:pPr>
    <w:r>
      <w:fldChar w:fldCharType="begin"/>
    </w:r>
    <w:r>
      <w:rPr>
        <w:rStyle w:val="9"/>
      </w:rPr>
      <w:instrText xml:space="preserve">PAGE  </w:instrText>
    </w:r>
    <w:r>
      <w:fldChar w:fldCharType="separate"/>
    </w:r>
    <w:r>
      <w:fldChar w:fldCharType="end"/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  <w:jc w:val="both"/>
      <w:rPr>
        <w:rFonts w:hint="eastAsi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6F01C"/>
    <w:multiLevelType w:val="singleLevel"/>
    <w:tmpl w:val="6AA6F01C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3A95701"/>
    <w:rsid w:val="02A758E2"/>
    <w:rsid w:val="03A95701"/>
    <w:rsid w:val="08E150F2"/>
    <w:rsid w:val="0E7416CC"/>
    <w:rsid w:val="1B8239A7"/>
    <w:rsid w:val="1BA35DB7"/>
    <w:rsid w:val="1FBA0CE1"/>
    <w:rsid w:val="21610368"/>
    <w:rsid w:val="25BC354F"/>
    <w:rsid w:val="269123A4"/>
    <w:rsid w:val="2E201EB5"/>
    <w:rsid w:val="32DD52E4"/>
    <w:rsid w:val="37A13162"/>
    <w:rsid w:val="3AD3795F"/>
    <w:rsid w:val="3F342416"/>
    <w:rsid w:val="449C3295"/>
    <w:rsid w:val="44B26E56"/>
    <w:rsid w:val="48DA02A5"/>
    <w:rsid w:val="4A8D03FE"/>
    <w:rsid w:val="4C0B51A1"/>
    <w:rsid w:val="50E668E3"/>
    <w:rsid w:val="57AD4ECF"/>
    <w:rsid w:val="5CCE7FC2"/>
    <w:rsid w:val="5D5B07CD"/>
    <w:rsid w:val="61441586"/>
    <w:rsid w:val="64D37477"/>
    <w:rsid w:val="69FB7B14"/>
    <w:rsid w:val="6D535020"/>
    <w:rsid w:val="6FD22D7A"/>
    <w:rsid w:val="7C0B41D4"/>
    <w:rsid w:val="7C38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beforeLines="0" w:after="260" w:afterLines="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9">
    <w:name w:val="page number"/>
    <w:basedOn w:val="8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4</Pages>
  <Words>1959</Words>
  <Characters>2103</Characters>
  <Lines>0</Lines>
  <Paragraphs>0</Paragraphs>
  <TotalTime>29</TotalTime>
  <ScaleCrop>false</ScaleCrop>
  <LinksUpToDate>false</LinksUpToDate>
  <CharactersWithSpaces>2112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2018-09-11T11:54:00Z</dcterms:created>
  <dc:creator>四眼妞</dc:creator>
  <cp:lastModifiedBy>李冉</cp:lastModifiedBy>
  <cp:lastPrinted>2018-09-13T02:05:00Z</cp:lastPrinted>
  <dcterms:modified xsi:type="dcterms:W3CDTF">2020-05-12T09:17:44Z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